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佛山高新技术进步奖申报指南</w:t>
      </w:r>
    </w:p>
    <w:p>
      <w:pPr>
        <w:spacing w:line="560" w:lineRule="exact"/>
        <w:ind w:firstLine="640" w:firstLineChars="200"/>
        <w:rPr>
          <w:rFonts w:ascii="仿宋_GB2312" w:hAnsi="仿宋_GB2312" w:eastAsia="仿宋_GB2312" w:cs="仿宋_GB2312"/>
          <w:bCs/>
          <w:color w:val="auto"/>
          <w:sz w:val="32"/>
          <w:szCs w:val="32"/>
          <w:highlight w:val="none"/>
        </w:rPr>
      </w:pP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一、奖励类别</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（一）高新技术成就奖；</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（二）高新技术进步奖（一、二、三等奖）。</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二、申报对象</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在本市从事科学研究、技术发明、技术开发、成果转化和产业化等科技创新活动中，形成的拥有自主知识产权的科技成果，及做出突出贡献的组织和个人。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高新技术成就奖：授予在推进我市科学技术发展进程中</w:t>
      </w:r>
      <w:r>
        <w:rPr>
          <w:rFonts w:hint="eastAsia" w:ascii="仿宋_GB2312" w:hAnsi="仿宋_GB2312" w:eastAsia="仿宋_GB2312" w:cs="仿宋_GB2312"/>
          <w:bCs/>
          <w:color w:val="auto"/>
          <w:sz w:val="32"/>
          <w:szCs w:val="32"/>
          <w:highlight w:val="none"/>
          <w:lang w:eastAsia="zh-CN"/>
        </w:rPr>
        <w:t>做出</w:t>
      </w:r>
      <w:r>
        <w:rPr>
          <w:rFonts w:hint="eastAsia" w:ascii="仿宋_GB2312" w:hAnsi="仿宋_GB2312" w:eastAsia="仿宋_GB2312" w:cs="仿宋_GB2312"/>
          <w:bCs/>
          <w:color w:val="auto"/>
          <w:sz w:val="32"/>
          <w:szCs w:val="32"/>
          <w:highlight w:val="none"/>
        </w:rPr>
        <w:t>突出贡献的个人；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高新技术进步奖（一、二、三等奖）：授予在我市完成、应用推广先进科学技术成果，为促进科技进步和经济社会发展做出突出贡献的组织。</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三、申报条件</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（一）高新技术成就奖的申报条件及要求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1.爱国敬业，品德高尚，科研诚信和职业道德优秀；</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color w:val="auto"/>
          <w:sz w:val="32"/>
          <w:szCs w:val="32"/>
          <w:highlight w:val="none"/>
        </w:rPr>
        <w:t>为建设创新型佛山</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重大贡献，在当代科学技术前沿取得重大突破，推动行业技术进步，或者在科技创新、科技成果转化和高技术产业化中创造较大经济效益和社会效益的科技领军人物</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企业家；</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3.推荐候选人在行业长期从事技术或技术管理，有在佛山企事业</w:t>
      </w:r>
      <w:r>
        <w:rPr>
          <w:rFonts w:hint="eastAsia" w:ascii="仿宋_GB2312" w:hAnsi="仿宋_GB2312" w:eastAsia="仿宋_GB2312" w:cs="仿宋_GB2312"/>
          <w:bCs/>
          <w:color w:val="auto"/>
          <w:sz w:val="32"/>
          <w:szCs w:val="32"/>
          <w:highlight w:val="none"/>
          <w:lang w:val="en-US" w:eastAsia="zh-CN"/>
        </w:rPr>
        <w:t>单位</w:t>
      </w:r>
      <w:r>
        <w:rPr>
          <w:rFonts w:hint="eastAsia" w:ascii="仿宋_GB2312" w:hAnsi="仿宋_GB2312" w:eastAsia="仿宋_GB2312" w:cs="仿宋_GB2312"/>
          <w:bCs/>
          <w:color w:val="auto"/>
          <w:sz w:val="32"/>
          <w:szCs w:val="32"/>
          <w:highlight w:val="none"/>
        </w:rPr>
        <w:t>工作10年及以上经验（计算时间截止至202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年12月31日）；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4.获得省</w:t>
      </w:r>
      <w:r>
        <w:rPr>
          <w:rFonts w:hint="eastAsia" w:ascii="仿宋_GB2312" w:hAnsi="仿宋_GB2312" w:eastAsia="仿宋_GB2312" w:cs="仿宋_GB2312"/>
          <w:bCs/>
          <w:color w:val="auto"/>
          <w:sz w:val="32"/>
          <w:szCs w:val="32"/>
          <w:highlight w:val="none"/>
          <w:lang w:val="en-US" w:eastAsia="zh-CN"/>
        </w:rPr>
        <w:t>部</w:t>
      </w:r>
      <w:r>
        <w:rPr>
          <w:rFonts w:hint="eastAsia" w:ascii="仿宋_GB2312" w:hAnsi="仿宋_GB2312" w:eastAsia="仿宋_GB2312" w:cs="仿宋_GB2312"/>
          <w:bCs/>
          <w:color w:val="auto"/>
          <w:sz w:val="32"/>
          <w:szCs w:val="32"/>
          <w:highlight w:val="none"/>
        </w:rPr>
        <w:t>级</w:t>
      </w:r>
      <w:r>
        <w:rPr>
          <w:rFonts w:hint="eastAsia" w:ascii="仿宋_GB2312" w:hAnsi="仿宋_GB2312" w:eastAsia="仿宋_GB2312" w:cs="仿宋_GB2312"/>
          <w:bCs/>
          <w:color w:val="auto"/>
          <w:sz w:val="32"/>
          <w:szCs w:val="32"/>
          <w:highlight w:val="none"/>
          <w:lang w:val="en-US" w:eastAsia="zh-CN"/>
        </w:rPr>
        <w:t>科学技术</w:t>
      </w:r>
      <w:r>
        <w:rPr>
          <w:rFonts w:hint="eastAsia" w:ascii="仿宋_GB2312" w:hAnsi="仿宋_GB2312" w:eastAsia="仿宋_GB2312" w:cs="仿宋_GB2312"/>
          <w:bCs/>
          <w:color w:val="auto"/>
          <w:sz w:val="32"/>
          <w:szCs w:val="32"/>
          <w:highlight w:val="none"/>
        </w:rPr>
        <w:t>奖二等奖以上的主要完成人；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5.有5件以上发明专利或在公开发行的学术刊物、专著中发表的高质量论文及专著2篇以上，或参与国际/国家/行业标准制定1项以上； </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6.主持1项省</w:t>
      </w:r>
      <w:r>
        <w:rPr>
          <w:rFonts w:hint="eastAsia" w:ascii="仿宋_GB2312" w:hAnsi="仿宋_GB2312" w:eastAsia="仿宋_GB2312" w:cs="仿宋_GB2312"/>
          <w:bCs/>
          <w:color w:val="auto"/>
          <w:sz w:val="32"/>
          <w:szCs w:val="32"/>
          <w:highlight w:val="none"/>
          <w:lang w:val="en-US" w:eastAsia="zh-CN"/>
        </w:rPr>
        <w:t>部</w:t>
      </w:r>
      <w:r>
        <w:rPr>
          <w:rFonts w:hint="eastAsia" w:ascii="仿宋_GB2312" w:hAnsi="仿宋_GB2312" w:eastAsia="仿宋_GB2312" w:cs="仿宋_GB2312"/>
          <w:bCs/>
          <w:color w:val="auto"/>
          <w:sz w:val="32"/>
          <w:szCs w:val="32"/>
          <w:highlight w:val="none"/>
        </w:rPr>
        <w:t>级以上科研项目，如广东省重点研发计划、国家自然科学基金等</w:t>
      </w:r>
      <w:r>
        <w:rPr>
          <w:rFonts w:hint="eastAsia" w:ascii="仿宋_GB2312" w:hAnsi="仿宋_GB2312" w:eastAsia="仿宋_GB2312" w:cs="仿宋_GB2312"/>
          <w:bCs/>
          <w:color w:val="auto"/>
          <w:sz w:val="32"/>
          <w:szCs w:val="32"/>
          <w:highlight w:val="none"/>
          <w:lang w:eastAsia="zh-CN"/>
        </w:rPr>
        <w:t>；</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7.推荐候选人现工作单位在佛山市内依法注册，具有独立法人资格。</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（二）高新技术进步奖（一、二、三等奖）的申报条件及要求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所有完成单位都是独立的法人单位，第一完成单位应在佛山市内注册</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申报的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成果在佛山市</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应用</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申报的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成果技术创新性突出，技术指标先进；</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4.申报的项目成果已完成结题验收或经第三方科技成果评价；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申报的项目科技成果经</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年及以上实际应用，且取得较好的经济和社会效益；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申报项目核心技术拥有自主知识产权；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独</w:t>
      </w:r>
      <w:r>
        <w:rPr>
          <w:rFonts w:hint="eastAsia" w:ascii="仿宋_GB2312" w:hAnsi="仿宋_GB2312" w:eastAsia="仿宋_GB2312" w:cs="仿宋_GB2312"/>
          <w:color w:val="auto"/>
          <w:sz w:val="32"/>
          <w:szCs w:val="32"/>
          <w:highlight w:val="none"/>
          <w:lang w:val="en-US" w:eastAsia="zh-CN"/>
        </w:rPr>
        <w:t>立</w:t>
      </w:r>
      <w:r>
        <w:rPr>
          <w:rFonts w:hint="eastAsia" w:ascii="仿宋_GB2312" w:hAnsi="仿宋_GB2312" w:eastAsia="仿宋_GB2312" w:cs="仿宋_GB2312"/>
          <w:color w:val="auto"/>
          <w:sz w:val="32"/>
          <w:szCs w:val="32"/>
          <w:highlight w:val="none"/>
        </w:rPr>
        <w:t>完成的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成果由承担单位组织申报；两个或两个以上单位合作完成的成果，由主持单位组织申报。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除上述条件外，下列科技成果不得申报：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1.涉及国防、国家安全保密事项的；</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2.已经申报过本奖项（无论是否获奖），没有新的重大改进和提高的；</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3.仅依赖个人经验和技能、技巧又不可重复实现的技术；</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4.已经获得国家、省</w:t>
      </w:r>
      <w:r>
        <w:rPr>
          <w:rFonts w:hint="eastAsia" w:ascii="仿宋_GB2312" w:hAnsi="仿宋_GB2312" w:eastAsia="仿宋_GB2312" w:cs="仿宋_GB2312"/>
          <w:bCs/>
          <w:color w:val="auto"/>
          <w:sz w:val="32"/>
          <w:szCs w:val="32"/>
          <w:highlight w:val="none"/>
          <w:lang w:val="en-US" w:eastAsia="zh-CN"/>
        </w:rPr>
        <w:t>部级</w:t>
      </w:r>
      <w:r>
        <w:rPr>
          <w:rFonts w:hint="eastAsia" w:ascii="仿宋_GB2312" w:hAnsi="仿宋_GB2312" w:eastAsia="仿宋_GB2312" w:cs="仿宋_GB2312"/>
          <w:bCs/>
          <w:color w:val="auto"/>
          <w:sz w:val="32"/>
          <w:szCs w:val="32"/>
          <w:highlight w:val="none"/>
        </w:rPr>
        <w:t>科技奖的项目；</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5.关键技术没有自主知识产权</w:t>
      </w:r>
      <w:r>
        <w:rPr>
          <w:rFonts w:hint="default" w:ascii="仿宋_GB2312" w:hAnsi="仿宋_GB2312" w:eastAsia="仿宋_GB2312" w:cs="仿宋_GB2312"/>
          <w:bCs/>
          <w:color w:val="auto"/>
          <w:sz w:val="32"/>
          <w:szCs w:val="32"/>
          <w:highlight w:val="none"/>
          <w:lang w:val="en-US"/>
        </w:rPr>
        <w:t>及</w:t>
      </w:r>
      <w:r>
        <w:rPr>
          <w:rFonts w:hint="eastAsia" w:ascii="仿宋_GB2312" w:hAnsi="仿宋_GB2312" w:eastAsia="仿宋_GB2312" w:cs="仿宋_GB2312"/>
          <w:bCs/>
          <w:color w:val="auto"/>
          <w:sz w:val="32"/>
          <w:szCs w:val="32"/>
          <w:highlight w:val="none"/>
        </w:rPr>
        <w:t>知识产权存在争议的项目。</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（三）其他申报要求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1.候选</w:t>
      </w:r>
      <w:r>
        <w:rPr>
          <w:rFonts w:ascii="仿宋_GB2312" w:hAnsi="仿宋_GB2312" w:eastAsia="仿宋_GB2312" w:cs="仿宋_GB2312"/>
          <w:bCs/>
          <w:color w:val="auto"/>
          <w:sz w:val="32"/>
          <w:szCs w:val="32"/>
          <w:highlight w:val="none"/>
        </w:rPr>
        <w:t>项目</w:t>
      </w:r>
      <w:r>
        <w:rPr>
          <w:rFonts w:hint="default" w:ascii="仿宋_GB2312" w:hAnsi="仿宋_GB2312" w:eastAsia="仿宋_GB2312" w:cs="仿宋_GB2312"/>
          <w:bCs/>
          <w:color w:val="auto"/>
          <w:sz w:val="32"/>
          <w:szCs w:val="32"/>
          <w:highlight w:val="none"/>
          <w:lang w:val="en-US"/>
        </w:rPr>
        <w:t>必须</w:t>
      </w:r>
      <w:r>
        <w:rPr>
          <w:rFonts w:ascii="仿宋_GB2312" w:hAnsi="仿宋_GB2312" w:eastAsia="仿宋_GB2312" w:cs="仿宋_GB2312"/>
          <w:bCs/>
          <w:color w:val="auto"/>
          <w:sz w:val="32"/>
          <w:szCs w:val="32"/>
          <w:highlight w:val="none"/>
        </w:rPr>
        <w:t>提供相应的结题验收证明</w:t>
      </w:r>
      <w:r>
        <w:rPr>
          <w:rFonts w:hint="eastAsia" w:ascii="仿宋_GB2312" w:hAnsi="仿宋_GB2312" w:eastAsia="仿宋_GB2312" w:cs="仿宋_GB2312"/>
          <w:bCs/>
          <w:color w:val="auto"/>
          <w:sz w:val="32"/>
          <w:szCs w:val="32"/>
          <w:highlight w:val="none"/>
          <w:lang w:val="en-US" w:eastAsia="zh-CN"/>
        </w:rPr>
        <w:t>或</w:t>
      </w:r>
      <w:r>
        <w:rPr>
          <w:rFonts w:ascii="仿宋_GB2312" w:hAnsi="仿宋_GB2312" w:eastAsia="仿宋_GB2312" w:cs="仿宋_GB2312"/>
          <w:bCs/>
          <w:color w:val="auto"/>
          <w:sz w:val="32"/>
          <w:szCs w:val="32"/>
          <w:highlight w:val="none"/>
        </w:rPr>
        <w:t>科技成果</w:t>
      </w:r>
      <w:r>
        <w:rPr>
          <w:rFonts w:hint="eastAsia" w:ascii="仿宋_GB2312" w:hAnsi="仿宋_GB2312" w:eastAsia="仿宋_GB2312" w:cs="仿宋_GB2312"/>
          <w:bCs/>
          <w:color w:val="auto"/>
          <w:sz w:val="32"/>
          <w:szCs w:val="32"/>
          <w:highlight w:val="none"/>
        </w:rPr>
        <w:t>评价</w:t>
      </w:r>
      <w:r>
        <w:rPr>
          <w:rFonts w:ascii="仿宋_GB2312" w:hAnsi="仿宋_GB2312" w:eastAsia="仿宋_GB2312" w:cs="仿宋_GB2312"/>
          <w:bCs/>
          <w:color w:val="auto"/>
          <w:sz w:val="32"/>
          <w:szCs w:val="32"/>
          <w:highlight w:val="none"/>
        </w:rPr>
        <w:t>证明。</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w:t>
      </w:r>
      <w:r>
        <w:rPr>
          <w:rFonts w:ascii="仿宋_GB2312" w:hAnsi="仿宋_GB2312" w:eastAsia="仿宋_GB2312" w:cs="仿宋_GB2312"/>
          <w:bCs/>
          <w:color w:val="auto"/>
          <w:sz w:val="32"/>
          <w:szCs w:val="32"/>
          <w:highlight w:val="none"/>
        </w:rPr>
        <w:t>项目所列论文、专著应在国内为主完成，</w:t>
      </w:r>
      <w:r>
        <w:rPr>
          <w:rFonts w:hint="eastAsia" w:ascii="仿宋_GB2312" w:hAnsi="仿宋_GB2312" w:eastAsia="仿宋_GB2312" w:cs="仿宋_GB2312"/>
          <w:bCs/>
          <w:color w:val="auto"/>
          <w:sz w:val="32"/>
          <w:szCs w:val="32"/>
          <w:highlight w:val="none"/>
        </w:rPr>
        <w:t>知识产权应完全归我国国内权利主体（权利人）所有</w:t>
      </w:r>
      <w:r>
        <w:rPr>
          <w:rFonts w:ascii="仿宋_GB2312" w:hAnsi="仿宋_GB2312" w:eastAsia="仿宋_GB2312" w:cs="仿宋_GB2312"/>
          <w:bCs/>
          <w:color w:val="auto"/>
          <w:sz w:val="32"/>
          <w:szCs w:val="32"/>
          <w:highlight w:val="none"/>
        </w:rPr>
        <w:t>。论文论著署名第一单位（标号为1的单位）为国外单位的，不得作为</w:t>
      </w:r>
      <w:r>
        <w:rPr>
          <w:rFonts w:hint="eastAsia" w:ascii="仿宋_GB2312" w:hAnsi="仿宋_GB2312" w:eastAsia="仿宋_GB2312" w:cs="仿宋_GB2312"/>
          <w:bCs/>
          <w:color w:val="auto"/>
          <w:sz w:val="32"/>
          <w:szCs w:val="32"/>
          <w:highlight w:val="none"/>
        </w:rPr>
        <w:t>申报奖项</w:t>
      </w:r>
      <w:r>
        <w:rPr>
          <w:rFonts w:ascii="仿宋_GB2312" w:hAnsi="仿宋_GB2312" w:eastAsia="仿宋_GB2312" w:cs="仿宋_GB2312"/>
          <w:bCs/>
          <w:color w:val="auto"/>
          <w:sz w:val="32"/>
          <w:szCs w:val="32"/>
          <w:highlight w:val="none"/>
        </w:rPr>
        <w:t>的代表性论文专著。</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ascii="仿宋_GB2312" w:hAnsi="仿宋_GB2312" w:eastAsia="仿宋_GB2312" w:cs="仿宋_GB2312"/>
          <w:bCs/>
          <w:color w:val="auto"/>
          <w:sz w:val="32"/>
          <w:szCs w:val="32"/>
          <w:highlight w:val="none"/>
        </w:rPr>
        <w:t>所列主要知识产权证明</w:t>
      </w:r>
      <w:r>
        <w:rPr>
          <w:rFonts w:hint="eastAsia" w:ascii="仿宋_GB2312" w:hAnsi="仿宋_GB2312" w:eastAsia="仿宋_GB2312" w:cs="仿宋_GB2312"/>
          <w:bCs/>
          <w:color w:val="auto"/>
          <w:sz w:val="32"/>
          <w:szCs w:val="32"/>
          <w:highlight w:val="none"/>
        </w:rPr>
        <w:t>、论文、专著、主要技术评价证明材料没有在以往年度获奖项目或本年度其他项目中重复使用；</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w:t>
      </w:r>
      <w:r>
        <w:rPr>
          <w:rFonts w:ascii="仿宋_GB2312" w:hAnsi="仿宋_GB2312" w:eastAsia="仿宋_GB2312" w:cs="仿宋_GB2312"/>
          <w:bCs/>
          <w:color w:val="auto"/>
          <w:sz w:val="32"/>
          <w:szCs w:val="32"/>
          <w:highlight w:val="none"/>
        </w:rPr>
        <w:t>.高新技术进步奖（一、二、三等奖）要求成果已整体应用</w:t>
      </w:r>
      <w:r>
        <w:rPr>
          <w:rFonts w:hint="eastAsia" w:ascii="仿宋_GB2312" w:hAnsi="仿宋_GB2312" w:eastAsia="仿宋_GB2312" w:cs="仿宋_GB2312"/>
          <w:bCs/>
          <w:color w:val="auto"/>
          <w:sz w:val="32"/>
          <w:szCs w:val="32"/>
          <w:highlight w:val="none"/>
        </w:rPr>
        <w:t>1</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及</w:t>
      </w:r>
      <w:r>
        <w:rPr>
          <w:rFonts w:ascii="仿宋_GB2312" w:hAnsi="仿宋_GB2312" w:eastAsia="仿宋_GB2312" w:cs="仿宋_GB2312"/>
          <w:bCs/>
          <w:color w:val="auto"/>
          <w:sz w:val="32"/>
          <w:szCs w:val="32"/>
          <w:highlight w:val="none"/>
        </w:rPr>
        <w:t>以上（即20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3</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日前已应用）并需按照</w:t>
      </w:r>
      <w:r>
        <w:rPr>
          <w:rFonts w:hint="eastAsia" w:ascii="仿宋_GB2312" w:hAnsi="仿宋_GB2312" w:eastAsia="仿宋_GB2312" w:cs="仿宋_GB2312"/>
          <w:bCs/>
          <w:color w:val="auto"/>
          <w:sz w:val="32"/>
          <w:szCs w:val="32"/>
          <w:highlight w:val="none"/>
        </w:rPr>
        <w:t>管理办法</w:t>
      </w:r>
      <w:r>
        <w:rPr>
          <w:rFonts w:ascii="仿宋_GB2312" w:hAnsi="仿宋_GB2312" w:eastAsia="仿宋_GB2312" w:cs="仿宋_GB2312"/>
          <w:bCs/>
          <w:color w:val="auto"/>
          <w:sz w:val="32"/>
          <w:szCs w:val="32"/>
          <w:highlight w:val="none"/>
        </w:rPr>
        <w:t>有关要求提供应用情况和效果（效益）佐证材料。涉及有行政许可审批要求的，必须提交相应的行业许可批准证明材料（如新药、医疗器械、植物新品种、农药、化肥、兽药、食品、通信设备、电力设备、压力容器、“三废”排放、动物实验等），且获得批准时间达到</w:t>
      </w:r>
      <w:r>
        <w:rPr>
          <w:rFonts w:hint="eastAsia" w:ascii="仿宋_GB2312" w:hAnsi="仿宋_GB2312" w:eastAsia="仿宋_GB2312" w:cs="仿宋_GB2312"/>
          <w:bCs/>
          <w:color w:val="auto"/>
          <w:sz w:val="32"/>
          <w:szCs w:val="32"/>
          <w:highlight w:val="none"/>
        </w:rPr>
        <w:t>1</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及</w:t>
      </w:r>
      <w:r>
        <w:rPr>
          <w:rFonts w:ascii="仿宋_GB2312" w:hAnsi="仿宋_GB2312" w:eastAsia="仿宋_GB2312" w:cs="仿宋_GB2312"/>
          <w:bCs/>
          <w:color w:val="auto"/>
          <w:sz w:val="32"/>
          <w:szCs w:val="32"/>
          <w:highlight w:val="none"/>
        </w:rPr>
        <w:t>以上，即20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3</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日前已获得批准。土木建筑工程整体工程类项目要提交20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3</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日前的整体工程竣工验收报告。</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w:t>
      </w:r>
      <w:r>
        <w:rPr>
          <w:rFonts w:ascii="仿宋_GB2312" w:hAnsi="仿宋_GB2312" w:eastAsia="仿宋_GB2312" w:cs="仿宋_GB2312"/>
          <w:bCs/>
          <w:color w:val="auto"/>
          <w:sz w:val="32"/>
          <w:szCs w:val="32"/>
          <w:highlight w:val="none"/>
        </w:rPr>
        <w:t>项目（人选/组织）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其个人或单位同意。项目第一完成人须亲笔撰写承诺内容、签署承诺函，由相关单位盖章，并</w:t>
      </w:r>
      <w:r>
        <w:rPr>
          <w:rFonts w:hint="eastAsia" w:ascii="仿宋_GB2312" w:hAnsi="仿宋_GB2312" w:eastAsia="仿宋_GB2312" w:cs="仿宋_GB2312"/>
          <w:bCs/>
          <w:color w:val="auto"/>
          <w:sz w:val="32"/>
          <w:szCs w:val="32"/>
          <w:highlight w:val="none"/>
          <w:lang w:val="en-US" w:eastAsia="zh-CN"/>
        </w:rPr>
        <w:t>由第一完成单位</w:t>
      </w:r>
      <w:r>
        <w:rPr>
          <w:rFonts w:ascii="仿宋_GB2312" w:hAnsi="仿宋_GB2312" w:eastAsia="仿宋_GB2312" w:cs="仿宋_GB2312"/>
          <w:bCs/>
          <w:color w:val="auto"/>
          <w:sz w:val="32"/>
          <w:szCs w:val="32"/>
          <w:highlight w:val="none"/>
        </w:rPr>
        <w:t>将有关知情并同意不参与报奖证明材料</w:t>
      </w:r>
      <w:r>
        <w:rPr>
          <w:rFonts w:hint="eastAsia" w:ascii="仿宋_GB2312" w:hAnsi="仿宋_GB2312" w:eastAsia="仿宋_GB2312" w:cs="仿宋_GB2312"/>
          <w:bCs/>
          <w:color w:val="auto"/>
          <w:sz w:val="32"/>
          <w:szCs w:val="32"/>
          <w:highlight w:val="none"/>
        </w:rPr>
        <w:t>原件存档备查</w:t>
      </w:r>
      <w:r>
        <w:rPr>
          <w:rFonts w:ascii="仿宋_GB2312" w:hAnsi="仿宋_GB2312" w:eastAsia="仿宋_GB2312" w:cs="仿宋_GB2312"/>
          <w:bCs/>
          <w:color w:val="auto"/>
          <w:sz w:val="32"/>
          <w:szCs w:val="32"/>
          <w:highlight w:val="none"/>
        </w:rPr>
        <w:t>。</w:t>
      </w:r>
    </w:p>
    <w:p>
      <w:pPr>
        <w:spacing w:line="560" w:lineRule="exac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6.第一完成人同一年度只能</w:t>
      </w:r>
      <w:r>
        <w:rPr>
          <w:rFonts w:hint="eastAsia" w:ascii="仿宋_GB2312" w:hAnsi="仿宋_GB2312" w:eastAsia="仿宋_GB2312" w:cs="仿宋_GB2312"/>
          <w:b w:val="0"/>
          <w:bCs/>
          <w:color w:val="auto"/>
          <w:sz w:val="32"/>
          <w:szCs w:val="32"/>
          <w:highlight w:val="none"/>
        </w:rPr>
        <w:t>参与一项项目的评审</w:t>
      </w:r>
      <w:bookmarkStart w:id="0" w:name="_GoBack"/>
      <w:bookmarkEnd w:id="0"/>
      <w:r>
        <w:rPr>
          <w:rFonts w:hint="eastAsia" w:ascii="仿宋_GB2312" w:hAnsi="仿宋_GB2312" w:eastAsia="仿宋_GB2312" w:cs="仿宋_GB2312"/>
          <w:bCs/>
          <w:color w:val="auto"/>
          <w:sz w:val="32"/>
          <w:szCs w:val="32"/>
          <w:highlight w:val="none"/>
          <w:lang w:val="en-US" w:eastAsia="zh-CN"/>
        </w:rPr>
        <w:t>。</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7</w:t>
      </w:r>
      <w:r>
        <w:rPr>
          <w:rFonts w:ascii="仿宋_GB2312" w:hAnsi="仿宋_GB2312" w:eastAsia="仿宋_GB2312" w:cs="仿宋_GB2312"/>
          <w:bCs/>
          <w:color w:val="auto"/>
          <w:sz w:val="32"/>
          <w:szCs w:val="32"/>
          <w:highlight w:val="none"/>
        </w:rPr>
        <w:t>.已</w:t>
      </w:r>
      <w:r>
        <w:rPr>
          <w:rFonts w:hint="eastAsia" w:ascii="仿宋_GB2312" w:hAnsi="仿宋_GB2312" w:eastAsia="仿宋_GB2312" w:cs="仿宋_GB2312"/>
          <w:bCs/>
          <w:color w:val="auto"/>
          <w:sz w:val="32"/>
          <w:szCs w:val="32"/>
          <w:highlight w:val="none"/>
        </w:rPr>
        <w:t>进入评审</w:t>
      </w:r>
      <w:r>
        <w:rPr>
          <w:rFonts w:ascii="仿宋_GB2312" w:hAnsi="仿宋_GB2312" w:eastAsia="仿宋_GB2312" w:cs="仿宋_GB2312"/>
          <w:bCs/>
          <w:color w:val="auto"/>
          <w:sz w:val="32"/>
          <w:szCs w:val="32"/>
          <w:highlight w:val="none"/>
        </w:rPr>
        <w:t>的项目不可更改或增减完成人及完成单位，由</w:t>
      </w:r>
      <w:r>
        <w:rPr>
          <w:rFonts w:hint="eastAsia" w:ascii="仿宋_GB2312" w:hAnsi="仿宋_GB2312" w:eastAsia="仿宋_GB2312" w:cs="仿宋_GB2312"/>
          <w:bCs/>
          <w:color w:val="auto"/>
          <w:sz w:val="32"/>
          <w:szCs w:val="32"/>
          <w:highlight w:val="none"/>
        </w:rPr>
        <w:t>完成</w:t>
      </w:r>
      <w:r>
        <w:rPr>
          <w:rFonts w:ascii="仿宋_GB2312" w:hAnsi="仿宋_GB2312" w:eastAsia="仿宋_GB2312" w:cs="仿宋_GB2312"/>
          <w:bCs/>
          <w:color w:val="auto"/>
          <w:sz w:val="32"/>
          <w:szCs w:val="32"/>
          <w:highlight w:val="none"/>
        </w:rPr>
        <w:t>单位发函并经奖励办同意后，可撤销项目</w:t>
      </w:r>
      <w:r>
        <w:rPr>
          <w:rFonts w:hint="eastAsia" w:ascii="仿宋_GB2312" w:hAnsi="仿宋_GB2312" w:eastAsia="仿宋_GB2312" w:cs="仿宋_GB2312"/>
          <w:bCs/>
          <w:color w:val="auto"/>
          <w:sz w:val="32"/>
          <w:szCs w:val="32"/>
          <w:highlight w:val="none"/>
        </w:rPr>
        <w:t>，不再参与本年度评审</w:t>
      </w:r>
      <w:r>
        <w:rPr>
          <w:rFonts w:ascii="仿宋_GB2312" w:hAnsi="仿宋_GB2312" w:eastAsia="仿宋_GB2312" w:cs="仿宋_GB2312"/>
          <w:bCs/>
          <w:color w:val="auto"/>
          <w:sz w:val="32"/>
          <w:szCs w:val="32"/>
          <w:highlight w:val="none"/>
        </w:rPr>
        <w:t>。</w:t>
      </w:r>
    </w:p>
    <w:p>
      <w:pPr>
        <w:spacing w:line="560" w:lineRule="exact"/>
        <w:ind w:firstLine="640" w:firstLineChars="200"/>
        <w:rPr>
          <w:rFonts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lang w:val="en-US" w:eastAsia="zh-CN"/>
        </w:rPr>
        <w:t>8</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候选人及</w:t>
      </w:r>
      <w:r>
        <w:rPr>
          <w:rFonts w:ascii="仿宋_GB2312" w:hAnsi="仿宋_GB2312" w:eastAsia="仿宋_GB2312" w:cs="仿宋_GB2312"/>
          <w:bCs/>
          <w:color w:val="auto"/>
          <w:sz w:val="32"/>
          <w:szCs w:val="32"/>
          <w:highlight w:val="none"/>
        </w:rPr>
        <w:t>完成</w:t>
      </w:r>
      <w:r>
        <w:rPr>
          <w:rFonts w:hint="eastAsia" w:ascii="仿宋_GB2312" w:hAnsi="仿宋_GB2312" w:eastAsia="仿宋_GB2312" w:cs="仿宋_GB2312"/>
          <w:bCs/>
          <w:color w:val="auto"/>
          <w:sz w:val="32"/>
          <w:szCs w:val="32"/>
          <w:highlight w:val="none"/>
        </w:rPr>
        <w:t>单位信用良好</w:t>
      </w:r>
      <w:r>
        <w:rPr>
          <w:rFonts w:ascii="仿宋_GB2312" w:hAnsi="仿宋_GB2312" w:eastAsia="仿宋_GB2312" w:cs="仿宋_GB2312"/>
          <w:bCs/>
          <w:color w:val="auto"/>
          <w:sz w:val="32"/>
          <w:szCs w:val="32"/>
          <w:highlight w:val="none"/>
        </w:rPr>
        <w:t>，无重大违法记录，未被列</w:t>
      </w:r>
      <w:r>
        <w:rPr>
          <w:rFonts w:hint="eastAsia" w:ascii="仿宋_GB2312" w:hAnsi="仿宋_GB2312" w:eastAsia="仿宋_GB2312" w:cs="仿宋_GB2312"/>
          <w:bCs/>
          <w:color w:val="auto"/>
          <w:sz w:val="32"/>
          <w:szCs w:val="32"/>
          <w:highlight w:val="none"/>
        </w:rPr>
        <w:t>入“信用中国”官方网站（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仿宋_GB2312" w:hAnsi="仿宋_GB2312" w:eastAsia="仿宋_GB2312" w:cs="仿宋_GB2312"/>
          <w:bCs/>
          <w:color w:val="auto"/>
          <w:sz w:val="32"/>
          <w:szCs w:val="32"/>
          <w:highlight w:val="none"/>
        </w:rPr>
        <w:t>www.</w:t>
      </w:r>
      <w:r>
        <w:rPr>
          <w:rFonts w:ascii="仿宋_GB2312" w:hAnsi="仿宋_GB2312" w:eastAsia="仿宋_GB2312" w:cs="仿宋_GB2312"/>
          <w:bCs/>
          <w:color w:val="auto"/>
          <w:sz w:val="32"/>
          <w:szCs w:val="32"/>
          <w:highlight w:val="none"/>
        </w:rPr>
        <w:t>creditchina.gov.cn)</w:t>
      </w:r>
      <w:r>
        <w:rPr>
          <w:rFonts w:ascii="仿宋_GB2312" w:hAnsi="仿宋_GB2312" w:eastAsia="仿宋_GB2312" w:cs="仿宋_GB2312"/>
          <w:bCs/>
          <w:color w:val="auto"/>
          <w:sz w:val="32"/>
          <w:szCs w:val="32"/>
          <w:highlight w:val="none"/>
        </w:rPr>
        <w:fldChar w:fldCharType="end"/>
      </w:r>
      <w:r>
        <w:rPr>
          <w:rFonts w:hint="eastAsia" w:ascii="仿宋_GB2312" w:hAnsi="仿宋_GB2312" w:eastAsia="仿宋_GB2312" w:cs="仿宋_GB2312"/>
          <w:bCs/>
          <w:color w:val="auto"/>
          <w:sz w:val="32"/>
          <w:szCs w:val="32"/>
          <w:highlight w:val="none"/>
        </w:rPr>
        <w:t>的“记录失信执行人或重大税收违法案件当事人名单或政府采购严重违法失信行为记录名单”</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none"/>
        </w:rPr>
        <w:t>候选人及完成单位</w:t>
      </w:r>
      <w:r>
        <w:rPr>
          <w:rFonts w:hint="eastAsia" w:ascii="仿宋_GB2312" w:hAnsi="仿宋_GB2312" w:eastAsia="仿宋_GB2312" w:cs="仿宋_GB2312"/>
          <w:bCs/>
          <w:color w:val="auto"/>
          <w:sz w:val="32"/>
          <w:szCs w:val="32"/>
          <w:highlight w:val="none"/>
          <w:u w:val="none"/>
          <w:lang w:val="en-US" w:eastAsia="zh-CN"/>
        </w:rPr>
        <w:t>还</w:t>
      </w:r>
      <w:r>
        <w:rPr>
          <w:rFonts w:hint="eastAsia" w:ascii="仿宋_GB2312" w:hAnsi="仿宋_GB2312" w:eastAsia="仿宋_GB2312" w:cs="仿宋_GB2312"/>
          <w:bCs/>
          <w:color w:val="auto"/>
          <w:sz w:val="32"/>
          <w:szCs w:val="32"/>
          <w:highlight w:val="none"/>
          <w:u w:val="none"/>
        </w:rPr>
        <w:t>应符合科研诚信建设相关要求，自觉遵守评审纪律，对严重失信行为或违背科研伦理的责任主体实行“一票否决”。</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四、申报流程</w:t>
      </w:r>
    </w:p>
    <w:p>
      <w:p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（一）下载报名表</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关注“佛山高新协会”</w:t>
      </w:r>
      <w:r>
        <w:rPr>
          <w:rFonts w:hint="eastAsia" w:ascii="仿宋_GB2312" w:hAnsi="仿宋_GB2312" w:eastAsia="仿宋_GB2312" w:cs="仿宋_GB2312"/>
          <w:bCs/>
          <w:color w:val="auto"/>
          <w:sz w:val="32"/>
          <w:szCs w:val="32"/>
          <w:highlight w:val="none"/>
          <w:lang w:val="en-US" w:eastAsia="zh-CN"/>
        </w:rPr>
        <w:t>及各区高新协会</w:t>
      </w:r>
      <w:r>
        <w:rPr>
          <w:rFonts w:hint="eastAsia" w:ascii="仿宋_GB2312" w:hAnsi="仿宋_GB2312" w:eastAsia="仿宋_GB2312" w:cs="仿宋_GB2312"/>
          <w:bCs/>
          <w:color w:val="auto"/>
          <w:sz w:val="32"/>
          <w:szCs w:val="32"/>
          <w:highlight w:val="none"/>
        </w:rPr>
        <w:t>微信公众号或登录</w:t>
      </w:r>
      <w:r>
        <w:rPr>
          <w:rFonts w:hint="eastAsia" w:ascii="仿宋_GB2312" w:hAnsi="仿宋_GB2312" w:eastAsia="仿宋_GB2312" w:cs="仿宋_GB2312"/>
          <w:bCs/>
          <w:color w:val="auto"/>
          <w:sz w:val="32"/>
          <w:szCs w:val="32"/>
          <w:highlight w:val="none"/>
          <w:lang w:val="en-US" w:eastAsia="zh-CN"/>
        </w:rPr>
        <w:t>佛山高新协会及各区高新协会</w:t>
      </w:r>
      <w:r>
        <w:rPr>
          <w:rFonts w:hint="eastAsia" w:ascii="仿宋_GB2312" w:hAnsi="仿宋_GB2312" w:eastAsia="仿宋_GB2312" w:cs="仿宋_GB2312"/>
          <w:bCs/>
          <w:color w:val="auto"/>
          <w:sz w:val="32"/>
          <w:szCs w:val="32"/>
          <w:highlight w:val="none"/>
        </w:rPr>
        <w:t>网站，下载《佛山高新技术进步奖报名表》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高新技术成就奖申报书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《高新技术进步奖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一、二、三等奖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申报书》</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提交</w:t>
      </w:r>
      <w:r>
        <w:rPr>
          <w:rFonts w:hint="eastAsia" w:ascii="仿宋_GB2312" w:hAnsi="仿宋_GB2312" w:eastAsia="仿宋_GB2312" w:cs="仿宋_GB2312"/>
          <w:b/>
          <w:color w:val="auto"/>
          <w:sz w:val="32"/>
          <w:szCs w:val="32"/>
          <w:highlight w:val="none"/>
        </w:rPr>
        <w:t>报名表</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按要求填写《佛山高新技术进步奖报名表》，并提交至</w:t>
      </w:r>
      <w:r>
        <w:rPr>
          <w:rFonts w:hint="eastAsia" w:ascii="仿宋_GB2312" w:hAnsi="仿宋_GB2312" w:eastAsia="仿宋_GB2312" w:cs="仿宋_GB2312"/>
          <w:bCs/>
          <w:color w:val="auto"/>
          <w:sz w:val="32"/>
          <w:szCs w:val="32"/>
          <w:highlight w:val="none"/>
          <w:lang w:val="en-US" w:eastAsia="zh-CN"/>
        </w:rPr>
        <w:t>各受理单位</w:t>
      </w:r>
      <w:r>
        <w:rPr>
          <w:rFonts w:hint="eastAsia" w:ascii="仿宋_GB2312" w:hAnsi="仿宋_GB2312" w:eastAsia="仿宋_GB2312" w:cs="仿宋_GB2312"/>
          <w:bCs/>
          <w:color w:val="auto"/>
          <w:sz w:val="32"/>
          <w:szCs w:val="32"/>
          <w:highlight w:val="none"/>
        </w:rPr>
        <w:t>指定邮箱</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报名确认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对报名资料进行初步审核</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电子版材料提交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报名</w:t>
      </w:r>
      <w:r>
        <w:rPr>
          <w:rFonts w:hint="eastAsia" w:ascii="仿宋_GB2312" w:hAnsi="仿宋_GB2312" w:eastAsia="仿宋_GB2312" w:cs="仿宋_GB2312"/>
          <w:bCs/>
          <w:color w:val="auto"/>
          <w:sz w:val="32"/>
          <w:szCs w:val="32"/>
          <w:highlight w:val="none"/>
        </w:rPr>
        <w:t>审核通过后，</w:t>
      </w:r>
      <w:r>
        <w:rPr>
          <w:rFonts w:hint="eastAsia" w:ascii="仿宋_GB2312" w:hAnsi="仿宋_GB2312" w:eastAsia="仿宋_GB2312" w:cs="仿宋_GB2312"/>
          <w:bCs/>
          <w:color w:val="auto"/>
          <w:sz w:val="32"/>
          <w:szCs w:val="32"/>
          <w:highlight w:val="none"/>
          <w:lang w:val="en-US" w:eastAsia="zh-CN"/>
        </w:rPr>
        <w:t>申报组织和个人</w:t>
      </w:r>
      <w:r>
        <w:rPr>
          <w:rFonts w:hint="eastAsia" w:ascii="仿宋_GB2312" w:hAnsi="仿宋_GB2312" w:eastAsia="仿宋_GB2312" w:cs="仿宋_GB2312"/>
          <w:bCs/>
          <w:color w:val="auto"/>
          <w:sz w:val="32"/>
          <w:szCs w:val="32"/>
          <w:highlight w:val="none"/>
        </w:rPr>
        <w:t>按要求</w:t>
      </w:r>
      <w:r>
        <w:rPr>
          <w:rFonts w:hint="eastAsia" w:ascii="仿宋_GB2312" w:hAnsi="仿宋_GB2312" w:eastAsia="仿宋_GB2312" w:cs="仿宋_GB2312"/>
          <w:bCs/>
          <w:color w:val="auto"/>
          <w:sz w:val="32"/>
          <w:szCs w:val="32"/>
          <w:highlight w:val="none"/>
          <w:lang w:val="en-US" w:eastAsia="zh-CN"/>
        </w:rPr>
        <w:t>填写</w:t>
      </w:r>
      <w:r>
        <w:rPr>
          <w:rFonts w:hint="eastAsia" w:ascii="仿宋_GB2312" w:hAnsi="仿宋_GB2312" w:eastAsia="仿宋_GB2312" w:cs="仿宋_GB2312"/>
          <w:bCs/>
          <w:color w:val="auto"/>
          <w:sz w:val="32"/>
          <w:szCs w:val="32"/>
          <w:highlight w:val="none"/>
        </w:rPr>
        <w:t>申报书及</w:t>
      </w:r>
      <w:r>
        <w:rPr>
          <w:rFonts w:hint="eastAsia" w:ascii="仿宋_GB2312" w:hAnsi="仿宋_GB2312" w:eastAsia="仿宋_GB2312" w:cs="仿宋_GB2312"/>
          <w:bCs/>
          <w:color w:val="auto"/>
          <w:sz w:val="32"/>
          <w:szCs w:val="32"/>
          <w:highlight w:val="none"/>
          <w:lang w:val="en-US" w:eastAsia="zh-CN"/>
        </w:rPr>
        <w:t>整理</w:t>
      </w: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材料</w:t>
      </w:r>
      <w:r>
        <w:rPr>
          <w:rFonts w:hint="eastAsia" w:ascii="仿宋_GB2312" w:hAnsi="仿宋_GB2312" w:eastAsia="仿宋_GB2312" w:cs="仿宋_GB2312"/>
          <w:bCs/>
          <w:color w:val="auto"/>
          <w:sz w:val="32"/>
          <w:szCs w:val="32"/>
          <w:highlight w:val="none"/>
        </w:rPr>
        <w:t>，并提交电子版申报材料至</w:t>
      </w:r>
      <w:r>
        <w:rPr>
          <w:rFonts w:hint="eastAsia" w:ascii="仿宋_GB2312" w:hAnsi="仿宋_GB2312" w:eastAsia="仿宋_GB2312" w:cs="仿宋_GB2312"/>
          <w:bCs/>
          <w:color w:val="auto"/>
          <w:sz w:val="32"/>
          <w:szCs w:val="32"/>
          <w:highlight w:val="none"/>
          <w:lang w:val="en-US" w:eastAsia="zh-CN"/>
        </w:rPr>
        <w:t>各受理单位</w:t>
      </w:r>
      <w:r>
        <w:rPr>
          <w:rFonts w:hint="eastAsia" w:ascii="仿宋_GB2312" w:hAnsi="仿宋_GB2312" w:eastAsia="仿宋_GB2312" w:cs="仿宋_GB2312"/>
          <w:bCs/>
          <w:color w:val="auto"/>
          <w:sz w:val="32"/>
          <w:szCs w:val="32"/>
          <w:highlight w:val="none"/>
        </w:rPr>
        <w:t>指定邮箱</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材料初审</w:t>
      </w:r>
    </w:p>
    <w:p>
      <w:pPr>
        <w:spacing w:line="560" w:lineRule="exact"/>
        <w:ind w:firstLine="838" w:firstLineChars="262"/>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对电子版材料进行形式审查</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纸质版材料提交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申报组织和个人</w:t>
      </w:r>
      <w:r>
        <w:rPr>
          <w:rFonts w:hint="eastAsia" w:ascii="仿宋_GB2312" w:hAnsi="仿宋_GB2312" w:eastAsia="仿宋_GB2312" w:cs="仿宋_GB2312"/>
          <w:bCs/>
          <w:color w:val="auto"/>
          <w:sz w:val="32"/>
          <w:szCs w:val="32"/>
          <w:highlight w:val="none"/>
        </w:rPr>
        <w:t>打印并将书面申报材料报送</w:t>
      </w:r>
      <w:r>
        <w:rPr>
          <w:rFonts w:hint="eastAsia" w:ascii="仿宋_GB2312" w:hAnsi="仿宋_GB2312" w:eastAsia="仿宋_GB2312" w:cs="仿宋_GB2312"/>
          <w:bCs/>
          <w:color w:val="auto"/>
          <w:sz w:val="32"/>
          <w:szCs w:val="32"/>
          <w:highlight w:val="none"/>
          <w:lang w:val="en-US" w:eastAsia="zh-CN"/>
        </w:rPr>
        <w:t>至各受理单位</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评选及公示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对项目进行评选，</w:t>
      </w:r>
      <w:r>
        <w:rPr>
          <w:rFonts w:hint="eastAsia" w:ascii="仿宋_GB2312" w:hAnsi="仿宋_GB2312" w:eastAsia="仿宋_GB2312" w:cs="仿宋_GB2312"/>
          <w:bCs/>
          <w:color w:val="auto"/>
          <w:sz w:val="32"/>
          <w:szCs w:val="32"/>
          <w:highlight w:val="none"/>
          <w:lang w:val="en-US" w:eastAsia="zh-CN"/>
        </w:rPr>
        <w:t>必要时进行现场考察，</w:t>
      </w:r>
      <w:r>
        <w:rPr>
          <w:rFonts w:hint="eastAsia" w:ascii="仿宋_GB2312" w:hAnsi="仿宋_GB2312" w:eastAsia="仿宋_GB2312" w:cs="仿宋_GB2312"/>
          <w:bCs/>
          <w:color w:val="auto"/>
          <w:sz w:val="32"/>
          <w:szCs w:val="32"/>
          <w:highlight w:val="none"/>
        </w:rPr>
        <w:t>并将评选结果予以公示。</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五、其他事项</w:t>
      </w:r>
    </w:p>
    <w:p>
      <w:pPr>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rPr>
        <w:t>佛山高新技术进步奖评选对申报组织和个人不收取任何费用。</w:t>
      </w:r>
    </w:p>
    <w:p>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（二）原则上佛山市及各区高新协会为本奖项的受理单位，禅城区组织和个人由佛山市高新技术产业协会受理，其他区的由所在区高新协会受理。</w:t>
      </w:r>
    </w:p>
    <w:p>
      <w:pPr>
        <w:spacing w:line="560" w:lineRule="exact"/>
        <w:ind w:firstLine="640" w:firstLineChars="200"/>
        <w:rPr>
          <w:rFonts w:hint="eastAsia" w:ascii="仿宋_GB2312" w:hAnsi="仿宋_GB2312" w:eastAsia="仿宋_GB2312" w:cs="仿宋_GB2312"/>
          <w:bCs/>
          <w:color w:val="auto"/>
          <w:sz w:val="32"/>
          <w:szCs w:val="32"/>
          <w:highlight w:val="none"/>
        </w:rPr>
      </w:pPr>
    </w:p>
    <w:sectPr>
      <w:pgSz w:w="11906" w:h="16838"/>
      <w:pgMar w:top="1701" w:right="1474" w:bottom="147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E44704-575F-4ADA-A80A-47CC666729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AD0FF44-D4A3-4337-82F7-DB742FC59899}"/>
  </w:font>
  <w:font w:name="仿宋_GB2312">
    <w:panose1 w:val="02010609030101010101"/>
    <w:charset w:val="86"/>
    <w:family w:val="modern"/>
    <w:pitch w:val="default"/>
    <w:sig w:usb0="00000001" w:usb1="080E0000" w:usb2="00000000" w:usb3="00000000" w:csb0="00040000" w:csb1="00000000"/>
    <w:embedRegular r:id="rId3" w:fontKey="{DE5E5C3B-5863-4B42-9F8C-3E1A8273843C}"/>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4FC08"/>
    <w:multiLevelType w:val="singleLevel"/>
    <w:tmpl w:val="B914FC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Dc5NWViYjgxMGIxOGFkNDNkOGU4NzUwMjVkZTQifQ=="/>
    <w:docVar w:name="KSO_WPS_MARK_KEY" w:val="91629e02-456b-4c9c-b054-590a65f4c4e6"/>
  </w:docVars>
  <w:rsids>
    <w:rsidRoot w:val="47BE68EE"/>
    <w:rsid w:val="000B2FCD"/>
    <w:rsid w:val="00307556"/>
    <w:rsid w:val="0064248F"/>
    <w:rsid w:val="006854FC"/>
    <w:rsid w:val="006D189B"/>
    <w:rsid w:val="00737311"/>
    <w:rsid w:val="007B55A3"/>
    <w:rsid w:val="007D571D"/>
    <w:rsid w:val="00BD1E9D"/>
    <w:rsid w:val="00C655AC"/>
    <w:rsid w:val="00F22A9C"/>
    <w:rsid w:val="00F6215F"/>
    <w:rsid w:val="00FE02A3"/>
    <w:rsid w:val="016C71F3"/>
    <w:rsid w:val="027B7637"/>
    <w:rsid w:val="02814B46"/>
    <w:rsid w:val="038411F8"/>
    <w:rsid w:val="03AF67A4"/>
    <w:rsid w:val="03B5197C"/>
    <w:rsid w:val="03FD49DB"/>
    <w:rsid w:val="05AB350D"/>
    <w:rsid w:val="061F084E"/>
    <w:rsid w:val="079923C4"/>
    <w:rsid w:val="07E07274"/>
    <w:rsid w:val="085569DA"/>
    <w:rsid w:val="08F87680"/>
    <w:rsid w:val="09DF6008"/>
    <w:rsid w:val="0A8D13DF"/>
    <w:rsid w:val="0AB37262"/>
    <w:rsid w:val="0D192239"/>
    <w:rsid w:val="0E8E1989"/>
    <w:rsid w:val="0F6A6824"/>
    <w:rsid w:val="0FD210C2"/>
    <w:rsid w:val="11CE533C"/>
    <w:rsid w:val="12F54EA7"/>
    <w:rsid w:val="148750DB"/>
    <w:rsid w:val="15C319EE"/>
    <w:rsid w:val="18B8530A"/>
    <w:rsid w:val="18E44D4B"/>
    <w:rsid w:val="19E70E24"/>
    <w:rsid w:val="1B3E5044"/>
    <w:rsid w:val="1C2B4032"/>
    <w:rsid w:val="1CC53F96"/>
    <w:rsid w:val="1D1E0D95"/>
    <w:rsid w:val="20FE3AB0"/>
    <w:rsid w:val="22F54370"/>
    <w:rsid w:val="248D3BCE"/>
    <w:rsid w:val="24C00E60"/>
    <w:rsid w:val="251618CA"/>
    <w:rsid w:val="25A328A1"/>
    <w:rsid w:val="25BA7C7E"/>
    <w:rsid w:val="263C0693"/>
    <w:rsid w:val="27AC1D3A"/>
    <w:rsid w:val="27B00046"/>
    <w:rsid w:val="28B944FC"/>
    <w:rsid w:val="28E146B7"/>
    <w:rsid w:val="295C36E4"/>
    <w:rsid w:val="2C2017B8"/>
    <w:rsid w:val="2C3257DA"/>
    <w:rsid w:val="2D675E34"/>
    <w:rsid w:val="2E892528"/>
    <w:rsid w:val="2ED10987"/>
    <w:rsid w:val="2EE83781"/>
    <w:rsid w:val="304D40B7"/>
    <w:rsid w:val="30620EB6"/>
    <w:rsid w:val="32D01E9A"/>
    <w:rsid w:val="32D348B3"/>
    <w:rsid w:val="342D3894"/>
    <w:rsid w:val="343A01EC"/>
    <w:rsid w:val="34671D89"/>
    <w:rsid w:val="35A14111"/>
    <w:rsid w:val="36A90218"/>
    <w:rsid w:val="370C0C99"/>
    <w:rsid w:val="37B4591E"/>
    <w:rsid w:val="37F00650"/>
    <w:rsid w:val="385F790C"/>
    <w:rsid w:val="390E2953"/>
    <w:rsid w:val="399A1E48"/>
    <w:rsid w:val="39B32404"/>
    <w:rsid w:val="39D67C4C"/>
    <w:rsid w:val="3B8B0A6D"/>
    <w:rsid w:val="3BE678B3"/>
    <w:rsid w:val="3C250B4D"/>
    <w:rsid w:val="3C504A40"/>
    <w:rsid w:val="3CC2176F"/>
    <w:rsid w:val="3F1D6A7B"/>
    <w:rsid w:val="3FE01BCD"/>
    <w:rsid w:val="412B0FB9"/>
    <w:rsid w:val="41643E88"/>
    <w:rsid w:val="425F33D5"/>
    <w:rsid w:val="437A658A"/>
    <w:rsid w:val="43FB7987"/>
    <w:rsid w:val="473B6953"/>
    <w:rsid w:val="47644EF7"/>
    <w:rsid w:val="477E2418"/>
    <w:rsid w:val="47AE08B2"/>
    <w:rsid w:val="47BE68EE"/>
    <w:rsid w:val="48E10B31"/>
    <w:rsid w:val="48F93BCC"/>
    <w:rsid w:val="4BF61160"/>
    <w:rsid w:val="513F34D3"/>
    <w:rsid w:val="535B7AFB"/>
    <w:rsid w:val="53864FB0"/>
    <w:rsid w:val="53C71634"/>
    <w:rsid w:val="54B9346F"/>
    <w:rsid w:val="56027477"/>
    <w:rsid w:val="563913ED"/>
    <w:rsid w:val="577443F7"/>
    <w:rsid w:val="58093875"/>
    <w:rsid w:val="58441A49"/>
    <w:rsid w:val="58E53476"/>
    <w:rsid w:val="59711BB7"/>
    <w:rsid w:val="599947F9"/>
    <w:rsid w:val="5AD77520"/>
    <w:rsid w:val="5B107399"/>
    <w:rsid w:val="5D391878"/>
    <w:rsid w:val="60F26B81"/>
    <w:rsid w:val="636C7325"/>
    <w:rsid w:val="64055F8C"/>
    <w:rsid w:val="640B6C3E"/>
    <w:rsid w:val="647E7AED"/>
    <w:rsid w:val="663F3E8A"/>
    <w:rsid w:val="671A0B30"/>
    <w:rsid w:val="68024591"/>
    <w:rsid w:val="68425D33"/>
    <w:rsid w:val="68F23A24"/>
    <w:rsid w:val="69672770"/>
    <w:rsid w:val="6A7D6CAF"/>
    <w:rsid w:val="6AA255D1"/>
    <w:rsid w:val="6AD915C3"/>
    <w:rsid w:val="6E572F2A"/>
    <w:rsid w:val="6F771D08"/>
    <w:rsid w:val="706F1447"/>
    <w:rsid w:val="70775E06"/>
    <w:rsid w:val="70DA78C1"/>
    <w:rsid w:val="71566A5D"/>
    <w:rsid w:val="71DD3D2B"/>
    <w:rsid w:val="72683176"/>
    <w:rsid w:val="72C8559C"/>
    <w:rsid w:val="72E9307F"/>
    <w:rsid w:val="74130252"/>
    <w:rsid w:val="75306BE1"/>
    <w:rsid w:val="75442D04"/>
    <w:rsid w:val="755B0D48"/>
    <w:rsid w:val="762439E8"/>
    <w:rsid w:val="766E0486"/>
    <w:rsid w:val="76A636C1"/>
    <w:rsid w:val="76CB4E55"/>
    <w:rsid w:val="77101216"/>
    <w:rsid w:val="77CB768D"/>
    <w:rsid w:val="7810042D"/>
    <w:rsid w:val="781E4328"/>
    <w:rsid w:val="7A0E6282"/>
    <w:rsid w:val="7AD73F32"/>
    <w:rsid w:val="7CD6100A"/>
    <w:rsid w:val="7FE8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字符"/>
    <w:basedOn w:val="6"/>
    <w:link w:val="4"/>
    <w:autoRedefine/>
    <w:qFormat/>
    <w:uiPriority w:val="0"/>
    <w:rPr>
      <w:kern w:val="2"/>
      <w:sz w:val="18"/>
      <w:szCs w:val="18"/>
    </w:rPr>
  </w:style>
  <w:style w:type="character" w:customStyle="1" w:styleId="9">
    <w:name w:val="页脚 字符"/>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2176</Words>
  <Characters>2245</Characters>
  <Lines>16</Lines>
  <Paragraphs>4</Paragraphs>
  <TotalTime>79</TotalTime>
  <ScaleCrop>false</ScaleCrop>
  <LinksUpToDate>false</LinksUpToDate>
  <CharactersWithSpaces>2246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2019-06-20T07:50:00Z</dcterms:created>
  <dc:creator>谭少如</dc:creator>
  <cp:lastModifiedBy>周筱晶</cp:lastModifiedBy>
  <dcterms:modified xsi:type="dcterms:W3CDTF">2024-04-26T08:42:28Z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EF1F7060DC9E4D739B3D53A0E7F41E6B</vt:lpwstr>
  </property>
</Properties>
</file>